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2DC380D4" w:rsidR="00841BCD" w:rsidRPr="005C56D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GB" w:eastAsia="ja-JP"/>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1868EE">
        <w:rPr>
          <w:rFonts w:ascii="Arial" w:eastAsia="SimSun" w:hAnsi="Arial" w:cs="Times New Roman"/>
          <w:b/>
          <w:sz w:val="24"/>
          <w:szCs w:val="20"/>
          <w:lang w:val="en-GB"/>
        </w:rPr>
        <w:t>101-e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proofErr w:type="spellStart"/>
      <w:r w:rsidRPr="005C56DA">
        <w:rPr>
          <w:rFonts w:ascii="Arial" w:eastAsia="SimSun" w:hAnsi="Arial" w:cs="Times New Roman" w:hint="eastAsia"/>
          <w:b/>
          <w:bCs/>
          <w:sz w:val="24"/>
          <w:szCs w:val="20"/>
          <w:lang w:val="en-GB" w:eastAsia="ja-JP"/>
        </w:rPr>
        <w:t>R</w:t>
      </w:r>
      <w:r w:rsidRPr="005C56DA">
        <w:rPr>
          <w:rFonts w:ascii="Arial" w:eastAsia="SimSun" w:hAnsi="Arial" w:cs="Times New Roman"/>
          <w:b/>
          <w:bCs/>
          <w:sz w:val="24"/>
          <w:szCs w:val="20"/>
          <w:lang w:val="en-GB" w:eastAsia="ja-JP"/>
        </w:rPr>
        <w:t>4</w:t>
      </w:r>
      <w:proofErr w:type="spellEnd"/>
      <w:r w:rsidRPr="005C56DA">
        <w:rPr>
          <w:rFonts w:ascii="Arial" w:eastAsia="SimSun" w:hAnsi="Arial" w:cs="Times New Roman" w:hint="eastAsia"/>
          <w:b/>
          <w:bCs/>
          <w:sz w:val="24"/>
          <w:szCs w:val="20"/>
          <w:lang w:val="en-GB" w:eastAsia="ja-JP"/>
        </w:rPr>
        <w:t>-</w:t>
      </w:r>
      <w:r w:rsidR="005C56DA" w:rsidRPr="005C56DA">
        <w:rPr>
          <w:rFonts w:ascii="Arial" w:eastAsia="SimSun" w:hAnsi="Arial" w:cs="Times New Roman"/>
          <w:b/>
          <w:bCs/>
          <w:sz w:val="24"/>
          <w:szCs w:val="20"/>
          <w:lang w:val="en-GB" w:eastAsia="ja-JP"/>
        </w:rPr>
        <w:t xml:space="preserve"> </w:t>
      </w:r>
      <w:r w:rsidR="005C56DA" w:rsidRPr="005C56DA">
        <w:rPr>
          <w:rFonts w:ascii="Arial" w:eastAsia="SimSun" w:hAnsi="Arial" w:cs="Times New Roman"/>
          <w:b/>
          <w:bCs/>
          <w:sz w:val="24"/>
          <w:szCs w:val="20"/>
          <w:lang w:val="en-GB" w:eastAsia="ja-JP"/>
        </w:rPr>
        <w:t>2119317</w:t>
      </w:r>
    </w:p>
    <w:p w14:paraId="457FCC4F" w14:textId="68762ADC" w:rsidR="00841BCD" w:rsidRPr="00841BCD"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5C23A4">
        <w:rPr>
          <w:rFonts w:ascii="Arial" w:eastAsia="SimSun" w:hAnsi="Arial" w:cs="Times New Roman"/>
          <w:b/>
          <w:sz w:val="24"/>
          <w:szCs w:val="20"/>
          <w:lang w:val="en-GB"/>
        </w:rPr>
        <w:t xml:space="preserve">, </w:t>
      </w:r>
      <w:r w:rsidR="00A21D71">
        <w:rPr>
          <w:rFonts w:ascii="Arial" w:eastAsia="SimSun" w:hAnsi="Arial" w:cs="Times New Roman"/>
          <w:b/>
          <w:sz w:val="24"/>
          <w:szCs w:val="20"/>
          <w:lang w:val="en-GB"/>
        </w:rPr>
        <w:t xml:space="preserve">November </w:t>
      </w:r>
      <w:r w:rsidR="006E6311">
        <w:rPr>
          <w:rFonts w:ascii="Arial" w:eastAsia="SimSun" w:hAnsi="Arial" w:cs="Times New Roman"/>
          <w:b/>
          <w:sz w:val="24"/>
          <w:szCs w:val="20"/>
          <w:lang w:val="en-GB"/>
        </w:rPr>
        <w:t>1-12, 2021</w:t>
      </w:r>
    </w:p>
    <w:bookmarkEnd w:id="0"/>
    <w:bookmarkEnd w:id="1"/>
    <w:p w14:paraId="52CDCD23"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895565B" w14:textId="6C30003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0598">
        <w:rPr>
          <w:rFonts w:ascii="Arial" w:eastAsia="Calibri" w:hAnsi="Arial" w:cs="Arial"/>
          <w:b/>
          <w:bCs/>
          <w:sz w:val="24"/>
          <w:lang w:val="en-GB"/>
        </w:rPr>
        <w:t>RRM impact on PUCCH carrier switching</w:t>
      </w:r>
    </w:p>
    <w:p w14:paraId="641E8BEA" w14:textId="1D576C68"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54402">
        <w:rPr>
          <w:rFonts w:ascii="Arial" w:eastAsia="MS Mincho" w:hAnsi="Arial" w:cs="Arial"/>
          <w:b/>
          <w:bCs/>
          <w:sz w:val="24"/>
          <w:szCs w:val="20"/>
          <w:lang w:val="en-GB"/>
        </w:rPr>
        <w:t>8.23.2.3</w:t>
      </w:r>
    </w:p>
    <w:p w14:paraId="02EA8C51" w14:textId="01F884A3"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554402">
        <w:rPr>
          <w:rFonts w:ascii="Arial" w:eastAsia="Calibri" w:hAnsi="Arial" w:cs="Arial"/>
          <w:b/>
          <w:bCs/>
          <w:sz w:val="24"/>
          <w:lang w:val="en-GB"/>
        </w:rPr>
        <w:t>Discussion</w:t>
      </w:r>
    </w:p>
    <w:p w14:paraId="4541DEE2" w14:textId="77777777" w:rsidR="00091B39" w:rsidRPr="00841BCD" w:rsidRDefault="00091B39" w:rsidP="00091B39">
      <w:pPr>
        <w:pStyle w:val="RAN4H1"/>
      </w:pPr>
      <w:r w:rsidRPr="00841BCD">
        <w:t>Intro</w:t>
      </w:r>
      <w:r w:rsidRPr="0008612A">
        <w:rPr>
          <w:rStyle w:val="RAN4H1Char"/>
        </w:rPr>
        <w:t>ductio</w:t>
      </w:r>
      <w:r w:rsidRPr="00841BCD">
        <w:t>n</w:t>
      </w:r>
    </w:p>
    <w:p w14:paraId="0CB48674" w14:textId="32E1AA0A" w:rsidR="00091B39" w:rsidRDefault="00091B39" w:rsidP="00091B39">
      <w:pPr>
        <w:rPr>
          <w:lang w:eastAsia="zh-CN"/>
        </w:rPr>
      </w:pPr>
      <w:r>
        <w:rPr>
          <w:noProof/>
          <w:lang w:eastAsia="zh-CN"/>
        </w:rPr>
        <w:t>From</w:t>
      </w:r>
      <w:r>
        <w:rPr>
          <w:lang w:eastAsia="zh-CN"/>
        </w:rPr>
        <w:t xml:space="preserve"> RAN1 #</w:t>
      </w:r>
      <w:proofErr w:type="spellStart"/>
      <w:r>
        <w:rPr>
          <w:lang w:eastAsia="zh-CN"/>
        </w:rPr>
        <w:t>105e</w:t>
      </w:r>
      <w:proofErr w:type="spellEnd"/>
      <w:r>
        <w:rPr>
          <w:lang w:eastAsia="zh-CN"/>
        </w:rPr>
        <w:t>, PUCCH carrier switching is agreed to be supported in Rel-17</w:t>
      </w:r>
      <w:r w:rsidR="004B3EC0">
        <w:rPr>
          <w:lang w:eastAsia="zh-CN"/>
        </w:rPr>
        <w:t xml:space="preserve">. In </w:t>
      </w:r>
      <w:r>
        <w:rPr>
          <w:lang w:eastAsia="zh-CN"/>
        </w:rPr>
        <w:t>this paper</w:t>
      </w:r>
      <w:r w:rsidR="004B3EC0">
        <w:rPr>
          <w:lang w:eastAsia="zh-CN"/>
        </w:rPr>
        <w:t>,</w:t>
      </w:r>
      <w:r>
        <w:rPr>
          <w:lang w:eastAsia="zh-CN"/>
        </w:rPr>
        <w:t xml:space="preserve"> we will discuss the RRM impact from PUCCH carrier switching.</w:t>
      </w:r>
    </w:p>
    <w:p w14:paraId="0496BC21" w14:textId="676D9991" w:rsidR="00091B39" w:rsidRDefault="00091B39" w:rsidP="00091B39">
      <w:pPr>
        <w:pStyle w:val="RAN4H1"/>
      </w:pPr>
      <w:r>
        <w:t>Discussion</w:t>
      </w:r>
    </w:p>
    <w:p w14:paraId="25BBE301" w14:textId="77777777" w:rsidR="00091B39" w:rsidRPr="00FF056B" w:rsidRDefault="00091B39" w:rsidP="00091B39">
      <w:pPr>
        <w:rPr>
          <w:strike/>
          <w:lang w:eastAsia="zh-CN"/>
        </w:rPr>
      </w:pPr>
      <w:r>
        <w:rPr>
          <w:lang w:eastAsia="zh-CN"/>
        </w:rPr>
        <w:t>In the previous release, PUCCH-</w:t>
      </w:r>
      <w:proofErr w:type="spellStart"/>
      <w:r>
        <w:rPr>
          <w:lang w:eastAsia="zh-CN"/>
        </w:rPr>
        <w:t>Scell</w:t>
      </w:r>
      <w:proofErr w:type="spellEnd"/>
      <w:r>
        <w:rPr>
          <w:lang w:eastAsia="zh-CN"/>
        </w:rPr>
        <w:t xml:space="preserve"> is introduced and mainly it is for transmitting UCI for the secondary PUCCH group while there is a primary PUCCH cell for the primary PUCCH group. The previous rule is in either the primary PUCCH group or the secondary PUCCH group, only one of the cells within the cell group is assigned to transmit UCI.</w:t>
      </w:r>
      <w:r w:rsidRPr="00FF056B">
        <w:rPr>
          <w:strike/>
          <w:lang w:eastAsia="zh-CN"/>
        </w:rPr>
        <w:t xml:space="preserve"> </w:t>
      </w:r>
    </w:p>
    <w:p w14:paraId="34006CDD" w14:textId="77777777" w:rsidR="00091B39" w:rsidRDefault="00091B39" w:rsidP="00091B39">
      <w:pPr>
        <w:rPr>
          <w:rFonts w:eastAsia="Times New Roman"/>
        </w:rPr>
      </w:pPr>
      <w:r>
        <w:rPr>
          <w:lang w:eastAsia="zh-CN"/>
        </w:rPr>
        <w:t xml:space="preserve">For PUCCH carrier switching in Rel-17, it enables UE to have PUCCH in </w:t>
      </w:r>
      <w:proofErr w:type="spellStart"/>
      <w:r>
        <w:rPr>
          <w:lang w:eastAsia="zh-CN"/>
        </w:rPr>
        <w:t>Pcell</w:t>
      </w:r>
      <w:proofErr w:type="spellEnd"/>
      <w:r>
        <w:rPr>
          <w:lang w:eastAsia="zh-CN"/>
        </w:rPr>
        <w:t xml:space="preserve"> </w:t>
      </w:r>
      <w:proofErr w:type="gramStart"/>
      <w:r>
        <w:rPr>
          <w:lang w:eastAsia="zh-CN"/>
        </w:rPr>
        <w:t>and also</w:t>
      </w:r>
      <w:proofErr w:type="gramEnd"/>
      <w:r>
        <w:rPr>
          <w:lang w:eastAsia="zh-CN"/>
        </w:rPr>
        <w:t xml:space="preserve"> have PUCCH in at least one of the </w:t>
      </w:r>
      <w:proofErr w:type="spellStart"/>
      <w:r>
        <w:rPr>
          <w:lang w:eastAsia="zh-CN"/>
        </w:rPr>
        <w:t>Scells</w:t>
      </w:r>
      <w:proofErr w:type="spellEnd"/>
      <w:r>
        <w:rPr>
          <w:lang w:eastAsia="zh-CN"/>
        </w:rPr>
        <w:t xml:space="preserve"> within the same cell group. The use case might be for example when TDD slots in </w:t>
      </w:r>
      <w:proofErr w:type="spellStart"/>
      <w:r>
        <w:rPr>
          <w:lang w:eastAsia="zh-CN"/>
        </w:rPr>
        <w:t>Pcell</w:t>
      </w:r>
      <w:proofErr w:type="spellEnd"/>
      <w:r>
        <w:rPr>
          <w:lang w:eastAsia="zh-CN"/>
        </w:rPr>
        <w:t xml:space="preserve"> are not available for UL (due to the allocation for DL) but there are available UL slots in </w:t>
      </w:r>
      <w:proofErr w:type="spellStart"/>
      <w:proofErr w:type="gramStart"/>
      <w:r>
        <w:rPr>
          <w:lang w:eastAsia="zh-CN"/>
        </w:rPr>
        <w:t>Scell</w:t>
      </w:r>
      <w:proofErr w:type="spellEnd"/>
      <w:r>
        <w:rPr>
          <w:lang w:eastAsia="zh-CN"/>
        </w:rPr>
        <w:t>,  then</w:t>
      </w:r>
      <w:proofErr w:type="gramEnd"/>
      <w:r>
        <w:rPr>
          <w:lang w:eastAsia="zh-CN"/>
        </w:rPr>
        <w:t xml:space="preserve"> </w:t>
      </w:r>
      <w:r w:rsidRPr="00B83B42">
        <w:rPr>
          <w:rFonts w:eastAsia="Times New Roman"/>
        </w:rPr>
        <w:t>gNB</w:t>
      </w:r>
      <w:r>
        <w:rPr>
          <w:rFonts w:eastAsia="Times New Roman"/>
        </w:rPr>
        <w:t xml:space="preserve"> can</w:t>
      </w:r>
      <w:r w:rsidRPr="00B83B42">
        <w:rPr>
          <w:rFonts w:eastAsia="Times New Roman"/>
        </w:rPr>
        <w:t xml:space="preserve"> indicate UE to map the </w:t>
      </w:r>
      <w:r>
        <w:rPr>
          <w:rFonts w:eastAsia="Times New Roman"/>
        </w:rPr>
        <w:t>UCI</w:t>
      </w:r>
      <w:r w:rsidRPr="00B83B42">
        <w:rPr>
          <w:rFonts w:eastAsia="Times New Roman"/>
        </w:rPr>
        <w:t xml:space="preserve"> data </w:t>
      </w:r>
      <w:r>
        <w:rPr>
          <w:rFonts w:eastAsia="Times New Roman"/>
        </w:rPr>
        <w:t>in the</w:t>
      </w:r>
      <w:r w:rsidRPr="00B83B42">
        <w:rPr>
          <w:rFonts w:eastAsia="Times New Roman"/>
        </w:rPr>
        <w:t xml:space="preserve"> </w:t>
      </w:r>
      <w:proofErr w:type="spellStart"/>
      <w:r w:rsidRPr="00B83B42">
        <w:rPr>
          <w:rFonts w:eastAsia="Times New Roman"/>
        </w:rPr>
        <w:t>Scell</w:t>
      </w:r>
      <w:proofErr w:type="spellEnd"/>
      <w:r w:rsidRPr="00B83B42">
        <w:rPr>
          <w:rFonts w:eastAsia="Times New Roman"/>
        </w:rPr>
        <w:t xml:space="preserve"> multiplexing with the original </w:t>
      </w:r>
      <w:proofErr w:type="spellStart"/>
      <w:r w:rsidRPr="00B83B42">
        <w:rPr>
          <w:rFonts w:eastAsia="Times New Roman"/>
        </w:rPr>
        <w:t>Scell</w:t>
      </w:r>
      <w:proofErr w:type="spellEnd"/>
      <w:r w:rsidRPr="00B83B42">
        <w:rPr>
          <w:rFonts w:eastAsia="Times New Roman"/>
        </w:rPr>
        <w:t xml:space="preserve"> PUSCH </w:t>
      </w:r>
      <w:r>
        <w:rPr>
          <w:rFonts w:eastAsia="Times New Roman"/>
        </w:rPr>
        <w:t xml:space="preserve">data so that the latency caused by the late UL slot in the </w:t>
      </w:r>
      <w:proofErr w:type="spellStart"/>
      <w:r>
        <w:rPr>
          <w:rFonts w:eastAsia="Times New Roman"/>
        </w:rPr>
        <w:t>Pcell</w:t>
      </w:r>
      <w:proofErr w:type="spellEnd"/>
      <w:r>
        <w:rPr>
          <w:rFonts w:eastAsia="Times New Roman"/>
        </w:rPr>
        <w:t xml:space="preserve"> may be reduced. An example of PUCCH carrier switching is shown in Fig. 1.</w:t>
      </w:r>
    </w:p>
    <w:p w14:paraId="0F5D296A" w14:textId="77777777" w:rsidR="00091B39" w:rsidRDefault="00091B39" w:rsidP="00091B39">
      <w:pPr>
        <w:keepNext/>
        <w:jc w:val="center"/>
      </w:pPr>
      <w:r>
        <w:rPr>
          <w:noProof/>
        </w:rPr>
        <w:drawing>
          <wp:inline distT="0" distB="0" distL="0" distR="0" wp14:anchorId="289D49EB" wp14:editId="352987FA">
            <wp:extent cx="4235754" cy="1104212"/>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6938" cy="1127983"/>
                    </a:xfrm>
                    <a:prstGeom prst="rect">
                      <a:avLst/>
                    </a:prstGeom>
                    <a:noFill/>
                  </pic:spPr>
                </pic:pic>
              </a:graphicData>
            </a:graphic>
          </wp:inline>
        </w:drawing>
      </w:r>
    </w:p>
    <w:p w14:paraId="040A73CB" w14:textId="77777777" w:rsidR="00091B39" w:rsidRPr="000E793A" w:rsidRDefault="00091B39" w:rsidP="00091B39">
      <w:pPr>
        <w:pStyle w:val="Caption"/>
      </w:pPr>
      <w:r>
        <w:t xml:space="preserve">Figure </w:t>
      </w:r>
      <w:fldSimple w:instr=" SEQ Figure \* ARABIC ">
        <w:r>
          <w:rPr>
            <w:noProof/>
          </w:rPr>
          <w:t>1</w:t>
        </w:r>
      </w:fldSimple>
      <w:r>
        <w:t xml:space="preserve"> </w:t>
      </w:r>
      <w:r w:rsidRPr="0042728D">
        <w:t xml:space="preserve"> PUCCH carrier switching from </w:t>
      </w:r>
      <w:proofErr w:type="spellStart"/>
      <w:r w:rsidRPr="0042728D">
        <w:t>Pcell</w:t>
      </w:r>
      <w:proofErr w:type="spellEnd"/>
      <w:r w:rsidRPr="0042728D">
        <w:t xml:space="preserve"> to </w:t>
      </w:r>
      <w:proofErr w:type="spellStart"/>
      <w:r w:rsidRPr="0042728D">
        <w:t>Scell</w:t>
      </w:r>
      <w:proofErr w:type="spellEnd"/>
      <w:r>
        <w:rPr>
          <w:rFonts w:eastAsia="Times New Roman"/>
        </w:rPr>
        <w:t xml:space="preserve"> </w:t>
      </w:r>
    </w:p>
    <w:p w14:paraId="2008F3A3" w14:textId="77777777" w:rsidR="00091B39" w:rsidRDefault="00091B39" w:rsidP="00091B39">
      <w:pPr>
        <w:rPr>
          <w:rFonts w:eastAsia="Times New Roman"/>
        </w:rPr>
      </w:pPr>
    </w:p>
    <w:p w14:paraId="1277733C" w14:textId="77777777" w:rsidR="00091B39" w:rsidRDefault="00091B39" w:rsidP="00091B39">
      <w:pPr>
        <w:rPr>
          <w:rFonts w:eastAsia="Times New Roman"/>
        </w:rPr>
      </w:pPr>
      <w:r w:rsidRPr="001374A2">
        <w:rPr>
          <w:rFonts w:eastAsia="Times New Roman"/>
          <w:noProof/>
        </w:rPr>
        <mc:AlternateContent>
          <mc:Choice Requires="wps">
            <w:drawing>
              <wp:anchor distT="45720" distB="45720" distL="114300" distR="114300" simplePos="0" relativeHeight="251658240" behindDoc="0" locked="0" layoutInCell="1" allowOverlap="1" wp14:anchorId="15523FDD" wp14:editId="0F68C40D">
                <wp:simplePos x="0" y="0"/>
                <wp:positionH relativeFrom="column">
                  <wp:posOffset>-65405</wp:posOffset>
                </wp:positionH>
                <wp:positionV relativeFrom="paragraph">
                  <wp:posOffset>227330</wp:posOffset>
                </wp:positionV>
                <wp:extent cx="6145530" cy="1404620"/>
                <wp:effectExtent l="0" t="0" r="26670" b="1651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404620"/>
                        </a:xfrm>
                        <a:prstGeom prst="rect">
                          <a:avLst/>
                        </a:prstGeom>
                        <a:solidFill>
                          <a:srgbClr val="FFFFFF"/>
                        </a:solidFill>
                        <a:ln w="9525">
                          <a:solidFill>
                            <a:srgbClr val="000000"/>
                          </a:solidFill>
                          <a:miter lim="800000"/>
                          <a:headEnd/>
                          <a:tailEnd/>
                        </a:ln>
                      </wps:spPr>
                      <wps:txbx>
                        <w:txbxContent>
                          <w:p w14:paraId="1DF978BB" w14:textId="77777777" w:rsidR="00554402" w:rsidRDefault="00554402" w:rsidP="00091B39">
                            <w:r w:rsidRPr="008530C0">
                              <w:rPr>
                                <w:rStyle w:val="Strong"/>
                                <w:highlight w:val="green"/>
                                <w:lang w:eastAsia="zh-CN"/>
                              </w:rPr>
                              <w:t>Agreements:</w:t>
                            </w:r>
                            <w:r w:rsidRPr="008530C0">
                              <w:rPr>
                                <w:rStyle w:val="Strong"/>
                                <w:lang w:eastAsia="zh-CN"/>
                              </w:rPr>
                              <w:t xml:space="preserve"> In the studies on PUCCH carrier switching for HARQ-ACK, PUCCH carrier switching for different cells operated is considered only for cells that are part of the active UL CA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523FDD" id="_x0000_t202" coordsize="21600,21600" o:spt="202" path="m,l,21600r21600,l21600,xe">
                <v:stroke joinstyle="miter"/>
                <v:path gradientshapeok="t" o:connecttype="rect"/>
              </v:shapetype>
              <v:shape id="Text Box 2" o:spid="_x0000_s1026" type="#_x0000_t202" style="position:absolute;margin-left:-5.15pt;margin-top:17.9pt;width:483.9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">
                <v:textbox style="mso-fit-shape-to-text:t">
                  <w:txbxContent>
                    <w:p w14:paraId="1DF978BB" w14:textId="77777777" w:rsidR="00554402" w:rsidRDefault="00554402" w:rsidP="00091B39">
                      <w:r w:rsidRPr="008530C0">
                        <w:rPr>
                          <w:rStyle w:val="Strong"/>
                          <w:highlight w:val="green"/>
                          <w:lang w:eastAsia="zh-CN"/>
                        </w:rPr>
                        <w:t>Agreements:</w:t>
                      </w:r>
                      <w:r w:rsidRPr="008530C0">
                        <w:rPr>
                          <w:rStyle w:val="Strong"/>
                          <w:lang w:eastAsia="zh-CN"/>
                        </w:rPr>
                        <w:t xml:space="preserve"> In the studies on PUCCH carrier switching for HARQ-ACK, PUCCH carrier switching for different cells operated is considered only for cells that are part of the active UL CA configuration.</w:t>
                      </w:r>
                    </w:p>
                  </w:txbxContent>
                </v:textbox>
                <w10:wrap type="square"/>
              </v:shape>
            </w:pict>
          </mc:Fallback>
        </mc:AlternateContent>
      </w:r>
      <w:r>
        <w:rPr>
          <w:rFonts w:eastAsia="Times New Roman"/>
        </w:rPr>
        <w:t>The assumption for PUCCH carrier switching is agreed in RAN1 #</w:t>
      </w:r>
      <w:proofErr w:type="spellStart"/>
      <w:r>
        <w:rPr>
          <w:rFonts w:eastAsia="Times New Roman"/>
        </w:rPr>
        <w:t>103e</w:t>
      </w:r>
      <w:proofErr w:type="spellEnd"/>
      <w:r>
        <w:rPr>
          <w:rFonts w:eastAsia="Times New Roman"/>
        </w:rPr>
        <w:t>:</w:t>
      </w:r>
    </w:p>
    <w:p w14:paraId="0B8C6F0F" w14:textId="77777777" w:rsidR="00091B39" w:rsidRDefault="00091B39" w:rsidP="00091B39">
      <w:pPr>
        <w:rPr>
          <w:rFonts w:eastAsia="Times New Roman"/>
        </w:rPr>
      </w:pPr>
      <w:r>
        <w:rPr>
          <w:rFonts w:eastAsia="Times New Roman"/>
        </w:rPr>
        <w:t xml:space="preserve">The agreement clarifies that PUCCH carrier switching will be operated only in active UL CA cells, which also implies the operation is only for the UEs that support multiple active UL CA cells. </w:t>
      </w:r>
    </w:p>
    <w:p w14:paraId="258D5703" w14:textId="77777777" w:rsidR="00091B39" w:rsidRDefault="00091B39" w:rsidP="00091B39">
      <w:pPr>
        <w:pStyle w:val="RAN4Observation"/>
      </w:pPr>
      <w:r>
        <w:t xml:space="preserve">PUCCH carrier switching will be operated only in active UL CA cells, and the operation is only for the UEs that support multiple active UL CA cells. </w:t>
      </w:r>
    </w:p>
    <w:p w14:paraId="3A4FC949" w14:textId="77777777" w:rsidR="00091B39" w:rsidRDefault="00091B39" w:rsidP="00091B39">
      <w:pPr>
        <w:rPr>
          <w:rFonts w:eastAsia="Times New Roman"/>
        </w:rPr>
      </w:pPr>
      <w:r>
        <w:rPr>
          <w:rFonts w:eastAsia="Times New Roman"/>
        </w:rPr>
        <w:t xml:space="preserve">For the capable UEs, either with DCI dynamic triggering or with RRC configuration, PUCCH carrier switching is simply mapping the UCI to one of the active UL CCs and it does not require any extra cell activation procedure. Therefore, the PUCCH carrier switching will not introduce any TX/RX interruption for any cell nor any switching delay, and we see no RRM core impact from it. </w:t>
      </w:r>
    </w:p>
    <w:p w14:paraId="21E9BC07" w14:textId="77777777" w:rsidR="00091B39" w:rsidRDefault="00091B39" w:rsidP="00091B39">
      <w:pPr>
        <w:pStyle w:val="RAN4proposal"/>
        <w:ind w:left="360" w:hanging="360"/>
      </w:pPr>
      <w:r>
        <w:t>No RRM core requirement is needed from PUCCH carrier switching.</w:t>
      </w:r>
    </w:p>
    <w:p w14:paraId="6E0B8FC1" w14:textId="62BDEFAE" w:rsidR="00091B39" w:rsidRPr="0095295C" w:rsidRDefault="00091B39" w:rsidP="00091B39">
      <w:pPr>
        <w:pStyle w:val="RAN4H1"/>
      </w:pPr>
      <w:r w:rsidRPr="00091B39">
        <w:lastRenderedPageBreak/>
        <w:t>Conclusion</w:t>
      </w:r>
    </w:p>
    <w:p w14:paraId="4C96CF0E" w14:textId="77777777" w:rsidR="00091B39" w:rsidRPr="00FF056B" w:rsidRDefault="00091B39" w:rsidP="00091B39">
      <w:pPr>
        <w:pStyle w:val="RAN4Observation"/>
        <w:numPr>
          <w:ilvl w:val="0"/>
          <w:numId w:val="11"/>
        </w:numPr>
      </w:pPr>
      <w:r>
        <w:t xml:space="preserve">PUCCH carrier switching will be operated only in active UL CA cells, and </w:t>
      </w:r>
      <w:proofErr w:type="gramStart"/>
      <w:r>
        <w:t>the it</w:t>
      </w:r>
      <w:proofErr w:type="gramEnd"/>
      <w:r>
        <w:t xml:space="preserve"> is only for the UEs that support multiple active UL CA cells. </w:t>
      </w:r>
    </w:p>
    <w:p w14:paraId="5092344F" w14:textId="77777777" w:rsidR="00091B39" w:rsidRDefault="00091B39" w:rsidP="00091B39">
      <w:pPr>
        <w:pStyle w:val="RAN4proposal"/>
        <w:numPr>
          <w:ilvl w:val="0"/>
          <w:numId w:val="8"/>
        </w:numPr>
      </w:pPr>
      <w:r>
        <w:t>No RRM core impact from PUCCH carrier switching.</w:t>
      </w:r>
    </w:p>
    <w:p w14:paraId="6E3C4828" w14:textId="77777777" w:rsidR="00091B39" w:rsidRPr="003B659E" w:rsidRDefault="00091B39" w:rsidP="00091B39">
      <w:pPr>
        <w:ind w:right="-22"/>
        <w:rPr>
          <w:lang w:val="en-GB"/>
        </w:rPr>
      </w:pPr>
    </w:p>
    <w:p w14:paraId="39C69540"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123C6" w14:textId="77777777" w:rsidR="00554402" w:rsidRDefault="00554402" w:rsidP="00001C9B">
      <w:pPr>
        <w:spacing w:after="0" w:line="240" w:lineRule="auto"/>
      </w:pPr>
      <w:r>
        <w:separator/>
      </w:r>
    </w:p>
  </w:endnote>
  <w:endnote w:type="continuationSeparator" w:id="0">
    <w:p w14:paraId="0DA4CD50" w14:textId="77777777" w:rsidR="00554402" w:rsidRDefault="00554402" w:rsidP="00001C9B">
      <w:pPr>
        <w:spacing w:after="0" w:line="240" w:lineRule="auto"/>
      </w:pPr>
      <w:r>
        <w:continuationSeparator/>
      </w:r>
    </w:p>
  </w:endnote>
  <w:endnote w:type="continuationNotice" w:id="1">
    <w:p w14:paraId="7313F800" w14:textId="77777777" w:rsidR="00554402" w:rsidRDefault="005544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81236" w14:textId="77777777" w:rsidR="00554402" w:rsidRDefault="00554402" w:rsidP="00001C9B">
      <w:pPr>
        <w:spacing w:after="0" w:line="240" w:lineRule="auto"/>
      </w:pPr>
      <w:r>
        <w:separator/>
      </w:r>
    </w:p>
  </w:footnote>
  <w:footnote w:type="continuationSeparator" w:id="0">
    <w:p w14:paraId="35C9B21A" w14:textId="77777777" w:rsidR="00554402" w:rsidRDefault="00554402" w:rsidP="00001C9B">
      <w:pPr>
        <w:spacing w:after="0" w:line="240" w:lineRule="auto"/>
      </w:pPr>
      <w:r>
        <w:continuationSeparator/>
      </w:r>
    </w:p>
  </w:footnote>
  <w:footnote w:type="continuationNotice" w:id="1">
    <w:p w14:paraId="5ADB6EE5" w14:textId="77777777" w:rsidR="00554402" w:rsidRDefault="005544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E110F6"/>
    <w:multiLevelType w:val="hybridMultilevel"/>
    <w:tmpl w:val="8C622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090FE3"/>
    <w:multiLevelType w:val="hybridMultilevel"/>
    <w:tmpl w:val="7AAA688E"/>
    <w:lvl w:ilvl="0" w:tplc="82849AB6">
      <w:start w:val="1"/>
      <w:numFmt w:val="bullet"/>
      <w:lvlText w:val="o"/>
      <w:lvlJc w:val="left"/>
      <w:pPr>
        <w:tabs>
          <w:tab w:val="num" w:pos="1080"/>
        </w:tabs>
        <w:ind w:left="1080" w:hanging="360"/>
      </w:pPr>
      <w:rPr>
        <w:rFonts w:ascii="Courier New" w:hAnsi="Courier New" w:hint="default"/>
      </w:rPr>
    </w:lvl>
    <w:lvl w:ilvl="1" w:tplc="A1888E74">
      <w:numFmt w:val="bullet"/>
      <w:lvlText w:val="o"/>
      <w:lvlJc w:val="left"/>
      <w:pPr>
        <w:tabs>
          <w:tab w:val="num" w:pos="1800"/>
        </w:tabs>
        <w:ind w:left="1800" w:hanging="360"/>
      </w:pPr>
      <w:rPr>
        <w:rFonts w:ascii="Courier New" w:hAnsi="Courier New" w:hint="default"/>
      </w:rPr>
    </w:lvl>
    <w:lvl w:ilvl="2" w:tplc="87068B5E" w:tentative="1">
      <w:start w:val="1"/>
      <w:numFmt w:val="bullet"/>
      <w:lvlText w:val="o"/>
      <w:lvlJc w:val="left"/>
      <w:pPr>
        <w:tabs>
          <w:tab w:val="num" w:pos="2520"/>
        </w:tabs>
        <w:ind w:left="2520" w:hanging="360"/>
      </w:pPr>
      <w:rPr>
        <w:rFonts w:ascii="Courier New" w:hAnsi="Courier New" w:hint="default"/>
      </w:rPr>
    </w:lvl>
    <w:lvl w:ilvl="3" w:tplc="40487A1C" w:tentative="1">
      <w:start w:val="1"/>
      <w:numFmt w:val="bullet"/>
      <w:lvlText w:val="o"/>
      <w:lvlJc w:val="left"/>
      <w:pPr>
        <w:tabs>
          <w:tab w:val="num" w:pos="3240"/>
        </w:tabs>
        <w:ind w:left="3240" w:hanging="360"/>
      </w:pPr>
      <w:rPr>
        <w:rFonts w:ascii="Courier New" w:hAnsi="Courier New" w:hint="default"/>
      </w:rPr>
    </w:lvl>
    <w:lvl w:ilvl="4" w:tplc="0908B55A" w:tentative="1">
      <w:start w:val="1"/>
      <w:numFmt w:val="bullet"/>
      <w:lvlText w:val="o"/>
      <w:lvlJc w:val="left"/>
      <w:pPr>
        <w:tabs>
          <w:tab w:val="num" w:pos="3960"/>
        </w:tabs>
        <w:ind w:left="3960" w:hanging="360"/>
      </w:pPr>
      <w:rPr>
        <w:rFonts w:ascii="Courier New" w:hAnsi="Courier New" w:hint="default"/>
      </w:rPr>
    </w:lvl>
    <w:lvl w:ilvl="5" w:tplc="EBC21902" w:tentative="1">
      <w:start w:val="1"/>
      <w:numFmt w:val="bullet"/>
      <w:lvlText w:val="o"/>
      <w:lvlJc w:val="left"/>
      <w:pPr>
        <w:tabs>
          <w:tab w:val="num" w:pos="4680"/>
        </w:tabs>
        <w:ind w:left="4680" w:hanging="360"/>
      </w:pPr>
      <w:rPr>
        <w:rFonts w:ascii="Courier New" w:hAnsi="Courier New" w:hint="default"/>
      </w:rPr>
    </w:lvl>
    <w:lvl w:ilvl="6" w:tplc="E6B0B2F6" w:tentative="1">
      <w:start w:val="1"/>
      <w:numFmt w:val="bullet"/>
      <w:lvlText w:val="o"/>
      <w:lvlJc w:val="left"/>
      <w:pPr>
        <w:tabs>
          <w:tab w:val="num" w:pos="5400"/>
        </w:tabs>
        <w:ind w:left="5400" w:hanging="360"/>
      </w:pPr>
      <w:rPr>
        <w:rFonts w:ascii="Courier New" w:hAnsi="Courier New" w:hint="default"/>
      </w:rPr>
    </w:lvl>
    <w:lvl w:ilvl="7" w:tplc="2CC85ABE" w:tentative="1">
      <w:start w:val="1"/>
      <w:numFmt w:val="bullet"/>
      <w:lvlText w:val="o"/>
      <w:lvlJc w:val="left"/>
      <w:pPr>
        <w:tabs>
          <w:tab w:val="num" w:pos="6120"/>
        </w:tabs>
        <w:ind w:left="6120" w:hanging="360"/>
      </w:pPr>
      <w:rPr>
        <w:rFonts w:ascii="Courier New" w:hAnsi="Courier New" w:hint="default"/>
      </w:rPr>
    </w:lvl>
    <w:lvl w:ilvl="8" w:tplc="8B7A5B28" w:tentative="1">
      <w:start w:val="1"/>
      <w:numFmt w:val="bullet"/>
      <w:lvlText w:val="o"/>
      <w:lvlJc w:val="left"/>
      <w:pPr>
        <w:tabs>
          <w:tab w:val="num" w:pos="6840"/>
        </w:tabs>
        <w:ind w:left="6840" w:hanging="360"/>
      </w:pPr>
      <w:rPr>
        <w:rFonts w:ascii="Courier New" w:hAnsi="Courier New"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9"/>
  </w:num>
  <w:num w:numId="4">
    <w:abstractNumId w:val="2"/>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4"/>
  </w:num>
  <w:num w:numId="22">
    <w:abstractNumId w:val="1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hideSpellingErrors/>
  <w:hideGrammaticalErrors/>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MwMrI0MzM0sjQxsLBU0lEKTi0uzszPAykwrQUAjvimICwAAAA="/>
  </w:docVars>
  <w:rsids>
    <w:rsidRoot w:val="00841BCD"/>
    <w:rsid w:val="00001C9B"/>
    <w:rsid w:val="0008612A"/>
    <w:rsid w:val="00091B39"/>
    <w:rsid w:val="000B0056"/>
    <w:rsid w:val="00140221"/>
    <w:rsid w:val="001475E4"/>
    <w:rsid w:val="001745F8"/>
    <w:rsid w:val="00177345"/>
    <w:rsid w:val="001838CF"/>
    <w:rsid w:val="001868EE"/>
    <w:rsid w:val="001A3BA4"/>
    <w:rsid w:val="001E30F6"/>
    <w:rsid w:val="00235F5C"/>
    <w:rsid w:val="002B4922"/>
    <w:rsid w:val="002C2D19"/>
    <w:rsid w:val="002D10FA"/>
    <w:rsid w:val="002D4C55"/>
    <w:rsid w:val="003B659E"/>
    <w:rsid w:val="003B76DE"/>
    <w:rsid w:val="0043750A"/>
    <w:rsid w:val="004854BB"/>
    <w:rsid w:val="004B3EC0"/>
    <w:rsid w:val="004E5E66"/>
    <w:rsid w:val="00503B4D"/>
    <w:rsid w:val="00504EE9"/>
    <w:rsid w:val="00527DF9"/>
    <w:rsid w:val="0054442C"/>
    <w:rsid w:val="00550285"/>
    <w:rsid w:val="00554402"/>
    <w:rsid w:val="005836F8"/>
    <w:rsid w:val="005918FA"/>
    <w:rsid w:val="005C23A4"/>
    <w:rsid w:val="005C56DA"/>
    <w:rsid w:val="005D1CDF"/>
    <w:rsid w:val="005E61A8"/>
    <w:rsid w:val="005F6419"/>
    <w:rsid w:val="00617400"/>
    <w:rsid w:val="00664950"/>
    <w:rsid w:val="00683220"/>
    <w:rsid w:val="00687FA0"/>
    <w:rsid w:val="006B7010"/>
    <w:rsid w:val="006E6311"/>
    <w:rsid w:val="0070614A"/>
    <w:rsid w:val="007145FF"/>
    <w:rsid w:val="00751515"/>
    <w:rsid w:val="00785232"/>
    <w:rsid w:val="007C3ED0"/>
    <w:rsid w:val="00806A76"/>
    <w:rsid w:val="00811C9D"/>
    <w:rsid w:val="00816C80"/>
    <w:rsid w:val="00841BCD"/>
    <w:rsid w:val="00851A8E"/>
    <w:rsid w:val="008826C1"/>
    <w:rsid w:val="0090091A"/>
    <w:rsid w:val="009042BD"/>
    <w:rsid w:val="00977E1D"/>
    <w:rsid w:val="00A21D71"/>
    <w:rsid w:val="00A22B78"/>
    <w:rsid w:val="00A25AE5"/>
    <w:rsid w:val="00A37002"/>
    <w:rsid w:val="00AA1B0E"/>
    <w:rsid w:val="00AC5CA7"/>
    <w:rsid w:val="00AE2BA5"/>
    <w:rsid w:val="00AE56B1"/>
    <w:rsid w:val="00B73862"/>
    <w:rsid w:val="00B767D2"/>
    <w:rsid w:val="00BA6E48"/>
    <w:rsid w:val="00BB0598"/>
    <w:rsid w:val="00BF2218"/>
    <w:rsid w:val="00CD7492"/>
    <w:rsid w:val="00CE3A6B"/>
    <w:rsid w:val="00D00211"/>
    <w:rsid w:val="00D06309"/>
    <w:rsid w:val="00D351EA"/>
    <w:rsid w:val="00D43403"/>
    <w:rsid w:val="00D62E71"/>
    <w:rsid w:val="00D740CA"/>
    <w:rsid w:val="00D85728"/>
    <w:rsid w:val="00DF2997"/>
    <w:rsid w:val="00EC7BC3"/>
    <w:rsid w:val="00ED7600"/>
    <w:rsid w:val="00F1362C"/>
    <w:rsid w:val="00F508B8"/>
    <w:rsid w:val="00F824F5"/>
    <w:rsid w:val="00F905BA"/>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Strong">
    <w:name w:val="Strong"/>
    <w:basedOn w:val="DefaultParagraphFont"/>
    <w:uiPriority w:val="22"/>
    <w:qFormat/>
    <w:rsid w:val="00091B39"/>
    <w:rPr>
      <w:b/>
      <w:bCs/>
    </w:rPr>
  </w:style>
  <w:style w:type="paragraph" w:styleId="Header">
    <w:name w:val="header"/>
    <w:basedOn w:val="Normal"/>
    <w:link w:val="HeaderChar"/>
    <w:uiPriority w:val="99"/>
    <w:semiHidden/>
    <w:unhideWhenUsed/>
    <w:rsid w:val="003B76D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B76DE"/>
    <w:rPr>
      <w:rFonts w:ascii="Times New Roman" w:hAnsi="Times New Roman"/>
      <w:sz w:val="20"/>
    </w:rPr>
  </w:style>
  <w:style w:type="paragraph" w:styleId="Footer">
    <w:name w:val="footer"/>
    <w:basedOn w:val="Normal"/>
    <w:link w:val="FooterChar"/>
    <w:uiPriority w:val="99"/>
    <w:semiHidden/>
    <w:unhideWhenUsed/>
    <w:rsid w:val="003B76D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B76DE"/>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5AIRPNAIUNRU-1328258698-7576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https://nokia.sharepoint.com/sites/c5g/5gradio/_layouts/15/DocIdRedir.aspx?ID=5AIRPNAIUNRU-1328258698-7576</Url>
      <Description>5AIRPNAIUNRU-1328258698-7576</Description>
    </_dlc_DocIdUrl>
  </documentManagement>
</p:properties>
</file>

<file path=customXml/itemProps1.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Qiping</cp:lastModifiedBy>
  <cp:revision>15</cp:revision>
  <dcterms:created xsi:type="dcterms:W3CDTF">2021-09-16T07:35:00Z</dcterms:created>
  <dcterms:modified xsi:type="dcterms:W3CDTF">2021-10-22T17:20:00Z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46c621cf-be1c-4334-b3b8-7911fa473fd5</vt:lpwstr>
  </property>
</Properties>
</file>